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6D" w:rsidRPr="00264B6D" w:rsidRDefault="00264B6D" w:rsidP="00264B6D">
      <w:pPr>
        <w:ind w:firstLine="708"/>
        <w:jc w:val="center"/>
        <w:rPr>
          <w:b/>
        </w:rPr>
      </w:pPr>
      <w:r w:rsidRPr="00264B6D">
        <w:rPr>
          <w:b/>
        </w:rPr>
        <w:t>Разъяснения по работе с должниками</w:t>
      </w:r>
    </w:p>
    <w:p w:rsidR="00264B6D" w:rsidRPr="00264B6D" w:rsidRDefault="00264B6D" w:rsidP="00264B6D">
      <w:pPr>
        <w:ind w:firstLine="708"/>
        <w:jc w:val="center"/>
        <w:rPr>
          <w:b/>
        </w:rPr>
      </w:pPr>
      <w:r w:rsidRPr="00264B6D">
        <w:rPr>
          <w:b/>
        </w:rPr>
        <w:t>по взносам на капитальный ремонт.</w:t>
      </w:r>
    </w:p>
    <w:p w:rsidR="00264B6D" w:rsidRDefault="00264B6D" w:rsidP="00264B6D">
      <w:pPr>
        <w:ind w:firstLine="708"/>
        <w:jc w:val="both"/>
      </w:pPr>
    </w:p>
    <w:p w:rsidR="00264B6D" w:rsidRDefault="00264B6D" w:rsidP="00264B6D">
      <w:pPr>
        <w:ind w:firstLine="708"/>
        <w:jc w:val="both"/>
        <w:rPr>
          <w:rFonts w:eastAsia="Calibri"/>
        </w:rPr>
      </w:pPr>
      <w:r>
        <w:t>С</w:t>
      </w:r>
      <w:r>
        <w:t xml:space="preserve">огласно части 3 статьи 170 </w:t>
      </w:r>
      <w:r>
        <w:rPr>
          <w:rFonts w:eastAsia="Calibri"/>
        </w:rPr>
        <w:t>Жилищного Кодекса Российской Федерации (далее – ЖК РФ) собственники помещений в многоквартирном доме вправе выбрать один из двух способов формирования фонда капитального ремонта: 1) на специальном счете (на отдельном доме) и 2) на счете регионального оператора. Указанные два способа имеют различия и разное правовое регулирование.</w:t>
      </w:r>
    </w:p>
    <w:p w:rsidR="00264B6D" w:rsidRDefault="00264B6D" w:rsidP="00264B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тлич</w:t>
      </w:r>
      <w:r>
        <w:rPr>
          <w:rFonts w:ascii="Times New Roman" w:hAnsi="Times New Roman" w:cs="Times New Roman"/>
          <w:sz w:val="28"/>
          <w:szCs w:val="28"/>
        </w:rPr>
        <w:t>аются указанные два способа</w:t>
      </w:r>
      <w:r>
        <w:rPr>
          <w:rFonts w:ascii="Times New Roman" w:hAnsi="Times New Roman" w:cs="Times New Roman"/>
          <w:sz w:val="28"/>
          <w:szCs w:val="28"/>
        </w:rPr>
        <w:t xml:space="preserve"> </w:t>
      </w:r>
      <w:r>
        <w:rPr>
          <w:rFonts w:ascii="Times New Roman" w:hAnsi="Times New Roman" w:cs="Times New Roman"/>
          <w:sz w:val="28"/>
          <w:szCs w:val="28"/>
        </w:rPr>
        <w:t>по</w:t>
      </w:r>
      <w:r>
        <w:rPr>
          <w:rFonts w:ascii="Times New Roman" w:hAnsi="Times New Roman" w:cs="Times New Roman"/>
          <w:sz w:val="28"/>
          <w:szCs w:val="28"/>
        </w:rPr>
        <w:t xml:space="preserve"> мест</w:t>
      </w:r>
      <w:r>
        <w:rPr>
          <w:rFonts w:ascii="Times New Roman" w:hAnsi="Times New Roman" w:cs="Times New Roman"/>
          <w:sz w:val="28"/>
          <w:szCs w:val="28"/>
        </w:rPr>
        <w:t>у</w:t>
      </w:r>
      <w:r>
        <w:rPr>
          <w:rFonts w:ascii="Times New Roman" w:hAnsi="Times New Roman" w:cs="Times New Roman"/>
          <w:sz w:val="28"/>
          <w:szCs w:val="28"/>
        </w:rPr>
        <w:t xml:space="preserve"> аккумулирования взносов и наличие прав, на взносы на капитальный ремонт.  В случае формирования фонда капитального ремонта на счете регионального оператора – все взносы на капитальный ремонт являются </w:t>
      </w:r>
      <w:r>
        <w:rPr>
          <w:rFonts w:ascii="Times New Roman" w:hAnsi="Times New Roman" w:cs="Times New Roman"/>
          <w:b/>
          <w:sz w:val="28"/>
          <w:szCs w:val="28"/>
        </w:rPr>
        <w:t>имуществом регионального оператора</w:t>
      </w:r>
      <w:r>
        <w:rPr>
          <w:rFonts w:ascii="Times New Roman" w:hAnsi="Times New Roman" w:cs="Times New Roman"/>
          <w:sz w:val="28"/>
          <w:szCs w:val="28"/>
        </w:rPr>
        <w:t xml:space="preserve"> (ст. 179 ЖК РФ). Р</w:t>
      </w:r>
      <w:r>
        <w:rPr>
          <w:rFonts w:ascii="Times New Roman" w:hAnsi="Times New Roman" w:cs="Times New Roman"/>
          <w:sz w:val="28"/>
          <w:szCs w:val="28"/>
        </w:rPr>
        <w:t xml:space="preserve">егиональный оператор принимает все меры, в том числе и взыскание задолженности по взносам на капитальный ремонт в судебном порядке для обеспечения сохранности своего имущества. Неуплата собственниками помещений взносов на капитальный ремонт в данном случае причиняет вред региональному оператору. Согласно части 1 статьи 3 Гражданского процессуального кодекса РФ (далее – ГПК </w:t>
      </w:r>
      <w:proofErr w:type="gramStart"/>
      <w:r>
        <w:rPr>
          <w:rFonts w:ascii="Times New Roman" w:hAnsi="Times New Roman" w:cs="Times New Roman"/>
          <w:sz w:val="28"/>
          <w:szCs w:val="28"/>
        </w:rPr>
        <w:t>РФ)  заинтересованное</w:t>
      </w:r>
      <w:proofErr w:type="gramEnd"/>
      <w:r>
        <w:rPr>
          <w:rFonts w:ascii="Times New Roman" w:hAnsi="Times New Roman" w:cs="Times New Roman"/>
          <w:sz w:val="28"/>
          <w:szCs w:val="28"/>
        </w:rPr>
        <w:t xml:space="preserve"> лицо (в данном случае - региональный оператор)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64B6D" w:rsidRDefault="00264B6D" w:rsidP="00264B6D">
      <w:pPr>
        <w:ind w:firstLine="708"/>
        <w:jc w:val="both"/>
        <w:rPr>
          <w:rFonts w:eastAsia="Calibri"/>
        </w:rPr>
      </w:pPr>
    </w:p>
    <w:p w:rsidR="00264B6D" w:rsidRDefault="00264B6D" w:rsidP="00264B6D">
      <w:pPr>
        <w:pStyle w:val="ConsPlusNormal"/>
        <w:ind w:firstLine="540"/>
        <w:jc w:val="both"/>
      </w:pPr>
      <w:r>
        <w:rPr>
          <w:rFonts w:ascii="Times New Roman" w:hAnsi="Times New Roman" w:cs="Times New Roman"/>
          <w:sz w:val="28"/>
          <w:szCs w:val="28"/>
        </w:rPr>
        <w:t xml:space="preserve">Что касается специального счета, то согласно ст. 36.1 ЖК РФ </w:t>
      </w:r>
      <w:r>
        <w:rPr>
          <w:rFonts w:ascii="Times New Roman" w:hAnsi="Times New Roman" w:cs="Times New Roman"/>
          <w:b/>
          <w:sz w:val="28"/>
          <w:szCs w:val="28"/>
        </w:rPr>
        <w:t>собственникам</w:t>
      </w:r>
      <w:r>
        <w:rPr>
          <w:rFonts w:ascii="Times New Roman" w:hAnsi="Times New Roman" w:cs="Times New Roman"/>
          <w:sz w:val="28"/>
          <w:szCs w:val="28"/>
        </w:rPr>
        <w:t xml:space="preserve"> помещений в многоквартирном доме </w:t>
      </w:r>
      <w:r>
        <w:rPr>
          <w:rFonts w:ascii="Times New Roman" w:hAnsi="Times New Roman" w:cs="Times New Roman"/>
          <w:b/>
          <w:sz w:val="28"/>
          <w:szCs w:val="28"/>
        </w:rPr>
        <w:t>принадлежат права на денежные средства</w:t>
      </w:r>
      <w:r>
        <w:rPr>
          <w:rFonts w:ascii="Times New Roman" w:hAnsi="Times New Roman" w:cs="Times New Roman"/>
          <w:sz w:val="28"/>
          <w:szCs w:val="28"/>
        </w:rPr>
        <w:t>,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В случае если собственники помещений в многоквартирном доме, находящемся на специальном счете не оплачивают взносы на капитальный ремонт, то они причиняют вред остальным собственникам. Добросовестные плательщики взносов на капитальный ремонт являются пострадавшей стороной, так как неплательщики нанесли вред им. Собственникам принадлежит право обратиться в суд для защиты своих прав. При этом, необходимо помнить, что при заключении собственниками договора с управляющей организацией в договор управления включаются положения о том, что собственники передают полномочия управляющей организации по взысканию задолженности за жилое помещение и коммунальные услуги.</w:t>
      </w:r>
    </w:p>
    <w:p w:rsidR="00264B6D" w:rsidRDefault="00264B6D" w:rsidP="00264B6D">
      <w:pPr>
        <w:ind w:firstLine="708"/>
        <w:jc w:val="both"/>
        <w:rPr>
          <w:rFonts w:eastAsia="Calibri"/>
        </w:rPr>
      </w:pPr>
      <w:r>
        <w:t xml:space="preserve">Согласно части </w:t>
      </w:r>
      <w:r>
        <w:rPr>
          <w:rFonts w:eastAsia="Calibri"/>
        </w:rPr>
        <w:t xml:space="preserve">2 статьи 154 Жилищного Кодекса Российской Федерации (далее – ЖК РФ) </w:t>
      </w:r>
      <w:r>
        <w:rPr>
          <w:rFonts w:eastAsia="Calibri"/>
          <w:b/>
        </w:rPr>
        <w:t>плата за жилое помещение и коммунальные услуги</w:t>
      </w:r>
      <w:r>
        <w:rPr>
          <w:rFonts w:eastAsia="Calibri"/>
        </w:rPr>
        <w:t xml:space="preserve"> для собственника помещения в многоквартирном доме включает в себя:</w:t>
      </w:r>
    </w:p>
    <w:p w:rsidR="00264B6D" w:rsidRDefault="00264B6D" w:rsidP="00264B6D">
      <w:pPr>
        <w:adjustRightInd w:val="0"/>
        <w:ind w:firstLine="540"/>
        <w:jc w:val="both"/>
        <w:rPr>
          <w:rFonts w:eastAsia="Calibri"/>
        </w:rPr>
      </w:pPr>
      <w:r>
        <w:rPr>
          <w:rFonts w:eastAsia="Calibri"/>
        </w:rPr>
        <w:lastRenderedPageBreak/>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264B6D" w:rsidRDefault="00264B6D" w:rsidP="00264B6D">
      <w:pPr>
        <w:adjustRightInd w:val="0"/>
        <w:ind w:firstLine="540"/>
        <w:jc w:val="both"/>
        <w:rPr>
          <w:rFonts w:eastAsia="Calibri"/>
        </w:rPr>
      </w:pPr>
      <w:r>
        <w:rPr>
          <w:rFonts w:eastAsia="Calibri"/>
        </w:rPr>
        <w:t xml:space="preserve">2) </w:t>
      </w:r>
      <w:r>
        <w:rPr>
          <w:rFonts w:eastAsia="Calibri"/>
          <w:b/>
        </w:rPr>
        <w:t>взнос на капитальный ремонт</w:t>
      </w:r>
      <w:r>
        <w:rPr>
          <w:rFonts w:eastAsia="Calibri"/>
        </w:rPr>
        <w:t>;</w:t>
      </w:r>
    </w:p>
    <w:p w:rsidR="00264B6D" w:rsidRDefault="00264B6D" w:rsidP="00264B6D">
      <w:pPr>
        <w:adjustRightInd w:val="0"/>
        <w:ind w:firstLine="540"/>
        <w:jc w:val="both"/>
        <w:rPr>
          <w:rFonts w:eastAsia="Calibri"/>
        </w:rPr>
      </w:pPr>
      <w:r>
        <w:rPr>
          <w:rFonts w:eastAsia="Calibri"/>
        </w:rPr>
        <w:t>3) плату за коммунальные услуги.</w:t>
      </w:r>
    </w:p>
    <w:p w:rsidR="00264B6D" w:rsidRDefault="00264B6D" w:rsidP="00264B6D">
      <w:pPr>
        <w:adjustRightInd w:val="0"/>
        <w:ind w:firstLine="540"/>
        <w:jc w:val="both"/>
        <w:rPr>
          <w:rFonts w:eastAsia="Calibri"/>
        </w:rPr>
      </w:pPr>
      <w:r>
        <w:rPr>
          <w:rFonts w:eastAsia="Calibri"/>
        </w:rPr>
        <w:t xml:space="preserve">Таким образом, задолженность по взносам на капитальный ремонт (при способе формирования фонда капитального ремонта – специальный счет) подлежит взысканию в рамках общих норм жилищного и гражданского процессуального законодательства. Все правомочия управляющей организации по взысканию задолженности за жилое помещение и коммунальные услуги определяются </w:t>
      </w:r>
      <w:bookmarkStart w:id="0" w:name="_GoBack"/>
      <w:bookmarkEnd w:id="0"/>
      <w:r>
        <w:rPr>
          <w:rFonts w:eastAsia="Calibri"/>
        </w:rPr>
        <w:t xml:space="preserve">договором управления многоквартирным домом. </w:t>
      </w:r>
    </w:p>
    <w:p w:rsidR="00264B6D" w:rsidRDefault="00264B6D" w:rsidP="00264B6D">
      <w:pPr>
        <w:adjustRightInd w:val="0"/>
        <w:ind w:firstLine="540"/>
        <w:jc w:val="both"/>
        <w:rPr>
          <w:rFonts w:eastAsia="Calibri"/>
        </w:rPr>
      </w:pPr>
    </w:p>
    <w:p w:rsidR="00264B6D" w:rsidRDefault="00264B6D" w:rsidP="00264B6D">
      <w:pPr>
        <w:adjustRightInd w:val="0"/>
        <w:ind w:firstLine="540"/>
        <w:jc w:val="both"/>
        <w:rPr>
          <w:rFonts w:eastAsia="Calibri"/>
        </w:rPr>
      </w:pPr>
      <w:r>
        <w:rPr>
          <w:rFonts w:eastAsia="Calibri"/>
        </w:rPr>
        <w:t>Данная позиция находит отражение также в Письме Минстроя России от 07.07.2014 N 12315-АЧ/04 "Об отдельных вопросах, возникающих в связи с реализацией законодательства Российской Федерации по вопросам организации капитального ремонта общего имущества в многоквартирных домах" (вместе с "Информацией по актуальным вопросам функционирования региональных систем капитального ремонта общего имущества в многоквартирных домах и деятельности региональных операторов").</w:t>
      </w:r>
    </w:p>
    <w:p w:rsidR="00264B6D" w:rsidRDefault="00264B6D" w:rsidP="00264B6D">
      <w:pPr>
        <w:adjustRightInd w:val="0"/>
        <w:ind w:firstLine="540"/>
        <w:jc w:val="both"/>
        <w:rPr>
          <w:rFonts w:eastAsia="Calibri"/>
        </w:rPr>
      </w:pPr>
    </w:p>
    <w:p w:rsidR="006C5E88" w:rsidRDefault="00A214D6"/>
    <w:sectPr w:rsidR="006C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6D"/>
    <w:rsid w:val="00264B6D"/>
    <w:rsid w:val="00362BC2"/>
    <w:rsid w:val="007F2D71"/>
    <w:rsid w:val="00A214D6"/>
    <w:rsid w:val="00C80EFA"/>
    <w:rsid w:val="00F5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FC0B-2EDC-4971-8522-99702D94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6D"/>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64B6D"/>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Сивохина Юлия Львовна</dc:creator>
  <cp:keywords/>
  <dc:description/>
  <cp:lastModifiedBy>Сивохина Юлия Львовна</cp:lastModifiedBy>
  <cp:revision>1</cp:revision>
  <dcterms:created xsi:type="dcterms:W3CDTF">2016-03-14T05:56:00Z</dcterms:created>
  <dcterms:modified xsi:type="dcterms:W3CDTF">2016-03-14T06:07:00Z</dcterms:modified>
</cp:coreProperties>
</file>