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Минстроя России от 29.12.2022 N 1159/пр</w:t>
              <w:br/>
              <w:t xml:space="preserve">"Об утверждении методических рекомендаций по определению нормативным правовым актом субъекта Российской Федерации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декабря 2022 г. N 1159/пр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МЕТОДИЧЕСКИХ РЕКОМЕНДАЦИЙ ПО ОПРЕДЕЛЕНИЮ НОРМАТИВНЫМ</w:t>
      </w:r>
    </w:p>
    <w:p>
      <w:pPr>
        <w:pStyle w:val="2"/>
        <w:jc w:val="center"/>
      </w:pPr>
      <w:r>
        <w:rPr>
          <w:sz w:val="20"/>
        </w:rPr>
        <w:t xml:space="preserve">ПРАВОВЫМ АКТОМ СУБЪЕКТА РОССИЙСКОЙ ФЕДЕРАЦИИ УСЛУГ</w:t>
      </w:r>
    </w:p>
    <w:p>
      <w:pPr>
        <w:pStyle w:val="2"/>
        <w:jc w:val="center"/>
      </w:pPr>
      <w:r>
        <w:rPr>
          <w:sz w:val="20"/>
        </w:rPr>
        <w:t xml:space="preserve">И (ИЛИ) РАБОТ, ВХОДЯЩИХ В ЧИСЛО УСЛУГ И (ИЛИ) РАБОТ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 ОБЩЕГО ИМУЩЕСТВА В МНОГОКВАРТИРНОМ</w:t>
      </w:r>
    </w:p>
    <w:p>
      <w:pPr>
        <w:pStyle w:val="2"/>
        <w:jc w:val="center"/>
      </w:pPr>
      <w:r>
        <w:rPr>
          <w:sz w:val="20"/>
        </w:rPr>
        <w:t xml:space="preserve">ДОМЕ, ОКАЗАНИЕ И (ИЛИ) ВЫПОЛНЕНИЕ КОТОРЫХ ФИНАНСИРУЮТСЯ</w:t>
      </w:r>
    </w:p>
    <w:p>
      <w:pPr>
        <w:pStyle w:val="2"/>
        <w:jc w:val="center"/>
      </w:pPr>
      <w:r>
        <w:rPr>
          <w:sz w:val="20"/>
        </w:rPr>
        <w:t xml:space="preserve">ЗА СЧЕТ СРЕДСТВ ФОНДА КАПИТАЛЬНОГО РЕМОНТА, КОТОРЫЙ</w:t>
      </w:r>
    </w:p>
    <w:p>
      <w:pPr>
        <w:pStyle w:val="2"/>
        <w:jc w:val="center"/>
      </w:pPr>
      <w:r>
        <w:rPr>
          <w:sz w:val="20"/>
        </w:rPr>
        <w:t xml:space="preserve">СФОРМИРОВАН ИСХОДЯ ИЗ МИНИМАЛЬНОГО РАЗМЕРА ВЗНОСА</w:t>
      </w:r>
    </w:p>
    <w:p>
      <w:pPr>
        <w:pStyle w:val="2"/>
        <w:jc w:val="center"/>
      </w:pPr>
      <w:r>
        <w:rPr>
          <w:sz w:val="20"/>
        </w:rPr>
        <w:t xml:space="preserve">НА КАПИТАЛЬНЫЙ РЕМОНТ, И КОТОРЫЕ ВКЛЮЧЕНЫ В ПЕРЕЧЕНЬ,</w:t>
      </w:r>
    </w:p>
    <w:p>
      <w:pPr>
        <w:pStyle w:val="2"/>
        <w:jc w:val="center"/>
      </w:pPr>
      <w:r>
        <w:rPr>
          <w:sz w:val="20"/>
        </w:rPr>
        <w:t xml:space="preserve">УКАЗАННЫЙ В ЧАСТИ 1 СТАТЬИ 166 ЖИЛИЩНОГО КОДЕКСА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Жилищный кодекс Российской Федерации&quot; от 29.12.2004 N 188-ФЗ (ред. от 21.11.2022) (с изм. и доп., вступ. в силу с 01.03.2023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частью 1.1 статьи 166</w:t>
        </w:r>
      </w:hyperlink>
      <w:r>
        <w:rPr>
          <w:sz w:val="20"/>
        </w:rPr>
        <w:t xml:space="preserve"> Жилищного кодекса Российской Федерации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методические </w:t>
      </w:r>
      <w:hyperlink w:history="0" w:anchor="P36" w:tooltip="МЕТОДИЧЕСКИЕ 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определению нормативным правовым актом субъекта Российской Федерации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статьи 166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И.Э.ФАЙЗУЛЛИН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декабря 2022 г. N 1159/пр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НОРМАТИВНЫМ ПРАВОВЫМ АКТОМ СУБЪЕКТА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УСЛУГ И (ИЛИ) РАБОТ, ВХОДЯЩИХ В ЧИСЛО</w:t>
      </w:r>
    </w:p>
    <w:p>
      <w:pPr>
        <w:pStyle w:val="2"/>
        <w:jc w:val="center"/>
      </w:pPr>
      <w:r>
        <w:rPr>
          <w:sz w:val="20"/>
        </w:rPr>
        <w:t xml:space="preserve">УСЛУГ И (ИЛИ) РАБОТ 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ОКАЗАНИЕ И (ИЛИ) ВЫПОЛНЕНИЕ КОТОРЫХ</w:t>
      </w:r>
    </w:p>
    <w:p>
      <w:pPr>
        <w:pStyle w:val="2"/>
        <w:jc w:val="center"/>
      </w:pPr>
      <w:r>
        <w:rPr>
          <w:sz w:val="20"/>
        </w:rPr>
        <w:t xml:space="preserve">ФИНАНСИРУЮТСЯ ЗА СЧЕТ СРЕДСТВ ФОНДА КАПИТАЛЬНОГО РЕМОНТА,</w:t>
      </w:r>
    </w:p>
    <w:p>
      <w:pPr>
        <w:pStyle w:val="2"/>
        <w:jc w:val="center"/>
      </w:pPr>
      <w:r>
        <w:rPr>
          <w:sz w:val="20"/>
        </w:rPr>
        <w:t xml:space="preserve">КОТОРЫЙ СФОРМИРОВАН ИСХОДЯ ИЗ МИНИМАЛЬНОГО РАЗМЕРА ВЗНОСА</w:t>
      </w:r>
    </w:p>
    <w:p>
      <w:pPr>
        <w:pStyle w:val="2"/>
        <w:jc w:val="center"/>
      </w:pPr>
      <w:r>
        <w:rPr>
          <w:sz w:val="20"/>
        </w:rPr>
        <w:t xml:space="preserve">НА КАПИТАЛЬНЫЙ РЕМОНТ, И КОТОРЫЕ ВКЛЮЧЕНЫ В ПЕРЕЧЕНЬ,</w:t>
      </w:r>
    </w:p>
    <w:p>
      <w:pPr>
        <w:pStyle w:val="2"/>
        <w:jc w:val="center"/>
      </w:pPr>
      <w:r>
        <w:rPr>
          <w:sz w:val="20"/>
        </w:rPr>
        <w:t xml:space="preserve">УКАЗАННЫЙ В ЧАСТИ 1 СТАТЬИ 166 ЖИЛИЩНОГО КОДЕКСА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методические рекомендации разработаны в целях оказания методического содействия субъектам Российской Федерации при разработке нормативных правовых актов, предусмотренных </w:t>
      </w:r>
      <w:hyperlink w:history="0" r:id="rId8" w:tooltip="&quot;Жилищный кодекс Российской Федерации&quot; от 29.12.2004 N 188-ФЗ (ред. от 21.11.2022) (с изм. и доп., вступ. в силу с 01.03.2023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частью 1.1 статьи 166</w:t>
        </w:r>
      </w:hyperlink>
      <w:r>
        <w:rPr>
          <w:sz w:val="20"/>
        </w:rPr>
        <w:t xml:space="preserve"> Жилищного кодекса Российской Федерации (далее - нормативный правовой акт субъекта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</w:t>
      </w:r>
      <w:hyperlink w:history="0" r:id="rId9" w:tooltip="&quot;Жилищный кодекс Российской Федерации&quot; от 29.12.2004 N 188-ФЗ (ред. от 21.11.2022) (с изм. и доп., вступ. в силу с 01.03.2023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части 1 статьи 166</w:t>
        </w:r>
      </w:hyperlink>
      <w:r>
        <w:rPr>
          <w:sz w:val="20"/>
        </w:rPr>
        <w:t xml:space="preserve"> Жилищного кодекса Российской Федерации (далее - услуги (работы), в нормативном правовом акте субъекта Российской Федерации рекомендуется определять с указанием составляющих их услуг и (или) работ (далее - состав услуг (работ).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Состав услуг (работ) в нормативном правовом акте субъекта Российской Федерации рекомендуется определять с учетом типа и этажности многоквартирного дома, стоимости проведения капитального ремонта отдельных элементов строительных конструкций и инженерных систем многоквартирного дома, нормативных сроков их эффективной эксплуатации до проведения очередного капитального ремонта (нормативных межремонтных сроков). Услуги (работы), состав услуг (работ) возможно определять дифференцировано по муниципальным образованиям.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Состав услуг (работ), включаемый в нормативный правовой акт субъекта Российской Федерации, рекомендуется определять в объеме, достаточном для отнесения услуг (работ) к капитальному ремонту в соответствии с </w:t>
      </w:r>
      <w:hyperlink w:history="0" r:id="rId10" w:tooltip="&quot;Градостроительный кодекс Российской Федерации&quot; от 29.12.2004 N 190-ФЗ (ред. от 19.12.2022) (с изм. и доп., вступ. в силу с 11.01.2023) {КонсультантПлюс}">
        <w:r>
          <w:rPr>
            <w:sz w:val="20"/>
            <w:color w:val="0000ff"/>
          </w:rPr>
          <w:t xml:space="preserve">пунктом 14.2 статьи 1</w:t>
        </w:r>
      </w:hyperlink>
      <w:r>
        <w:rPr>
          <w:sz w:val="20"/>
        </w:rPr>
        <w:t xml:space="preserve"> Градостроительного кодекса Российской Федерации с учетом особенностей, предусмотренных </w:t>
      </w:r>
      <w:hyperlink w:history="0" r:id="rId11" w:tooltip="&quot;Жилищный кодекс Российской Федерации&quot; от 29.12.2004 N 188-ФЗ (ред. от 21.11.2022) (с изм. и доп., вступ. в силу с 01.03.2023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частью 5 статьи 166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Рекомендуемый состав услуг (работ) приведен в </w:t>
      </w:r>
      <w:hyperlink w:history="0" w:anchor="P75" w:tooltip="РЕКОМЕНДУЕМЫЕ УСЛУГИ И (ИЛИ) РАБОТЫ,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настоящим методическим рекомендациям. В нормативном правовом акте субъекта Российской Федерации могут быть определены услуги (работы), входящие в состав услуг (работ), но не указанные в </w:t>
      </w:r>
      <w:hyperlink w:history="0" w:anchor="P75" w:tooltip="РЕКОМЕНДУЕМЫЕ УСЛУГИ И (ИЛИ) РАБОТЫ,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настоящим рекомендациям.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Методическим рекомендациям</w:t>
      </w:r>
    </w:p>
    <w:p>
      <w:pPr>
        <w:pStyle w:val="0"/>
        <w:jc w:val="right"/>
      </w:pPr>
      <w:r>
        <w:rPr>
          <w:sz w:val="20"/>
        </w:rPr>
        <w:t xml:space="preserve">по определению нормативным правовым актом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 услуг</w:t>
      </w:r>
    </w:p>
    <w:p>
      <w:pPr>
        <w:pStyle w:val="0"/>
        <w:jc w:val="right"/>
      </w:pPr>
      <w:r>
        <w:rPr>
          <w:sz w:val="20"/>
        </w:rPr>
        <w:t xml:space="preserve">и (или) работ, входящих в число услуг</w:t>
      </w:r>
    </w:p>
    <w:p>
      <w:pPr>
        <w:pStyle w:val="0"/>
        <w:jc w:val="right"/>
      </w:pPr>
      <w:r>
        <w:rPr>
          <w:sz w:val="20"/>
        </w:rPr>
        <w:t xml:space="preserve">и (или) работ по капитальному ремонту</w:t>
      </w:r>
    </w:p>
    <w:p>
      <w:pPr>
        <w:pStyle w:val="0"/>
        <w:jc w:val="right"/>
      </w:pPr>
      <w:r>
        <w:rPr>
          <w:sz w:val="20"/>
        </w:rPr>
        <w:t xml:space="preserve">общего имущества в многоквартирном доме,</w:t>
      </w:r>
    </w:p>
    <w:p>
      <w:pPr>
        <w:pStyle w:val="0"/>
        <w:jc w:val="right"/>
      </w:pPr>
      <w:r>
        <w:rPr>
          <w:sz w:val="20"/>
        </w:rPr>
        <w:t xml:space="preserve">оказание и (или) выполнение которых</w:t>
      </w:r>
    </w:p>
    <w:p>
      <w:pPr>
        <w:pStyle w:val="0"/>
        <w:jc w:val="right"/>
      </w:pPr>
      <w:r>
        <w:rPr>
          <w:sz w:val="20"/>
        </w:rPr>
        <w:t xml:space="preserve">финансируются за счет средств фонда</w:t>
      </w:r>
    </w:p>
    <w:p>
      <w:pPr>
        <w:pStyle w:val="0"/>
        <w:jc w:val="right"/>
      </w:pPr>
      <w:r>
        <w:rPr>
          <w:sz w:val="20"/>
        </w:rPr>
        <w:t xml:space="preserve">капитального ремонта, который сформирован</w:t>
      </w:r>
    </w:p>
    <w:p>
      <w:pPr>
        <w:pStyle w:val="0"/>
        <w:jc w:val="right"/>
      </w:pPr>
      <w:r>
        <w:rPr>
          <w:sz w:val="20"/>
        </w:rPr>
        <w:t xml:space="preserve">исходя из минимального размера взноса</w:t>
      </w:r>
    </w:p>
    <w:p>
      <w:pPr>
        <w:pStyle w:val="0"/>
        <w:jc w:val="right"/>
      </w:pPr>
      <w:r>
        <w:rPr>
          <w:sz w:val="20"/>
        </w:rPr>
        <w:t xml:space="preserve">на капитальный ремонт, и которые включены</w:t>
      </w:r>
    </w:p>
    <w:p>
      <w:pPr>
        <w:pStyle w:val="0"/>
        <w:jc w:val="right"/>
      </w:pPr>
      <w:r>
        <w:rPr>
          <w:sz w:val="20"/>
        </w:rPr>
        <w:t xml:space="preserve">в перечень, указанный в части 1 статьи 166</w:t>
      </w:r>
    </w:p>
    <w:p>
      <w:pPr>
        <w:pStyle w:val="0"/>
        <w:jc w:val="right"/>
      </w:pPr>
      <w:r>
        <w:rPr>
          <w:sz w:val="20"/>
        </w:rPr>
        <w:t xml:space="preserve">Жилищного кодекса Российской Федерации,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строительства и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Российской Федерации</w:t>
      </w:r>
    </w:p>
    <w:p>
      <w:pPr>
        <w:pStyle w:val="0"/>
        <w:jc w:val="both"/>
      </w:pPr>
      <w:r>
        <w:rPr>
          <w:sz w:val="20"/>
        </w:rPr>
      </w:r>
    </w:p>
    <w:bookmarkStart w:id="75" w:name="P75"/>
    <w:bookmarkEnd w:id="75"/>
    <w:p>
      <w:pPr>
        <w:pStyle w:val="2"/>
        <w:jc w:val="center"/>
      </w:pPr>
      <w:r>
        <w:rPr>
          <w:sz w:val="20"/>
        </w:rPr>
        <w:t xml:space="preserve">РЕКОМЕНДУЕМЫЕ УСЛУГИ И (ИЛИ) РАБОТЫ,</w:t>
      </w:r>
    </w:p>
    <w:p>
      <w:pPr>
        <w:pStyle w:val="2"/>
        <w:jc w:val="center"/>
      </w:pPr>
      <w:r>
        <w:rPr>
          <w:sz w:val="20"/>
        </w:rPr>
        <w:t xml:space="preserve">ВХОДЯЩИЕ В ЧИСЛО УСЛУГ И (ИЛИ) РАБОТ ПО КАПИТАЛЬНОМУ</w:t>
      </w:r>
    </w:p>
    <w:p>
      <w:pPr>
        <w:pStyle w:val="2"/>
        <w:jc w:val="center"/>
      </w:pPr>
      <w:r>
        <w:rPr>
          <w:sz w:val="20"/>
        </w:rPr>
        <w:t xml:space="preserve">РЕМОНТУ ОБЩЕГО ИМУЩЕСТВА В МНОГОКВАРТИРНОМ ДОМЕ,</w:t>
      </w:r>
    </w:p>
    <w:p>
      <w:pPr>
        <w:pStyle w:val="2"/>
        <w:jc w:val="center"/>
      </w:pPr>
      <w:r>
        <w:rPr>
          <w:sz w:val="20"/>
        </w:rPr>
        <w:t xml:space="preserve">ОКАЗАНИЕ И (ИЛИ) ВЫПОЛНЕНИЕ КОТОРЫХ ФИНАНСИРУЮТСЯ</w:t>
      </w:r>
    </w:p>
    <w:p>
      <w:pPr>
        <w:pStyle w:val="2"/>
        <w:jc w:val="center"/>
      </w:pPr>
      <w:r>
        <w:rPr>
          <w:sz w:val="20"/>
        </w:rPr>
        <w:t xml:space="preserve">ЗА СЧЕТ СРЕДСТВ ФОНДА КАПИТАЛЬНОГО РЕМОНТА, КОТОРЫЙ</w:t>
      </w:r>
    </w:p>
    <w:p>
      <w:pPr>
        <w:pStyle w:val="2"/>
        <w:jc w:val="center"/>
      </w:pPr>
      <w:r>
        <w:rPr>
          <w:sz w:val="20"/>
        </w:rPr>
        <w:t xml:space="preserve">СФОРМИРОВАН ИСХОДЯ ИЗ МИНИМАЛЬНОГО РАЗМЕРА ВЗНОСА</w:t>
      </w:r>
    </w:p>
    <w:p>
      <w:pPr>
        <w:pStyle w:val="2"/>
        <w:jc w:val="center"/>
      </w:pPr>
      <w:r>
        <w:rPr>
          <w:sz w:val="20"/>
        </w:rPr>
        <w:t xml:space="preserve">НА КАПИТАЛЬНЫЙ РЕМОНТ, И КОТОРЫЕ ВКЛЮЧЕНЫ В ПЕРЕЧЕНЬ,</w:t>
      </w:r>
    </w:p>
    <w:p>
      <w:pPr>
        <w:pStyle w:val="2"/>
        <w:jc w:val="center"/>
      </w:pPr>
      <w:r>
        <w:rPr>
          <w:sz w:val="20"/>
        </w:rPr>
        <w:t xml:space="preserve">УКАЗАННЫЙ В ЧАСТИ 1 СТАТЬИ 166 ЖИЛИЩНОГО КОДЕКСА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608"/>
        <w:gridCol w:w="6009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Услуги и (или) работы по капитальному ремонту общего имущества в многоквартирном доме, которые включены в перечень, указанный в </w:t>
            </w:r>
            <w:hyperlink w:history="0" r:id="rId12" w:tooltip="&quot;Жилищный кодекс Российской Федерации&quot; от 29.12.2004 N 188-ФЗ (ред. от 21.11.2022) (с изм. и доп., вступ. в силу с 01.03.2023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части 1 статьи 166</w:t>
              </w:r>
            </w:hyperlink>
            <w:r>
              <w:rPr>
                <w:sz w:val="20"/>
              </w:rPr>
              <w:t xml:space="preserve"> Жилищного кодекса Российской Федерации</w:t>
            </w:r>
          </w:p>
        </w:tc>
        <w:tc>
          <w:tcPr>
            <w:tcW w:w="60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Рекомендуемые услуги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</w:t>
            </w:r>
            <w:hyperlink w:history="0" r:id="rId13" w:tooltip="&quot;Жилищный кодекс Российской Федерации&quot; от 29.12.2004 N 188-ФЗ (ред. от 21.11.2022) (с изм. и доп., вступ. в силу с 01.03.2023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части 1 статьи 166</w:t>
              </w:r>
            </w:hyperlink>
            <w:r>
              <w:rPr>
                <w:sz w:val="20"/>
              </w:rPr>
              <w:t xml:space="preserve"> Жилищного кодекса Российской Федерации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фундамента многоквартирного дома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Вертикальная и/или горизонтальная гидроизоляция фундамента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отмостки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Антисептирование конструктивных элементов фундамента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Усиление, восстановление фундамента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Заделка и расшивка, инъектирование стыков, швов, трещин элементов фундамента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приямков, входов в подвалы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Герметизация мест пересечения инженерных коммуникаций с фундаментом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фасада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наружных стен, включая штукатурные работы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усиление), частичная перекладка кирпичной кладки стен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Инъектирование трещин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оконных перемычек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облицовочной плитки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Помывка наружных стен фасада из кирпича и облицованных керамической плиткой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архитектурных элементов фасада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Окраска стен фасада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усиление), утепление цоколя, обработка гидрофобизирующими составами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горизонтальных и вертикальных стыков (гермошвов) стеновых панелей крупноблочных и крупнопанельных зданий (в том числе стыковых стеновых панелей лифтовых помещений)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деформационных швов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оконных и балконных заполнений (в составе общего имущества)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Окраска оконных рам, оконных откосов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оконных отливов отливов балконных плит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дверей входа в подъезды, входов в мусорокамеры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или устройство входных групп, с учетом мероприятий по доступности для маломобильных групп населения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ограждающих и несущих конструкций открытых балконов и лоджий с восстановлением гидроизоляции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уклонообразующей цементно-песчаной стяжки плит открытых балконов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 с учетом требования </w:t>
            </w:r>
            <w:hyperlink w:history="0" r:id="rId14" w:tooltip="Постановление Правительства РФ от 13.08.2006 N 491 (ред. от 03.02.2022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 {КонсультантПлюс}">
              <w:r>
                <w:rPr>
                  <w:sz w:val="20"/>
                  <w:color w:val="0000ff"/>
                </w:rPr>
                <w:t xml:space="preserve">подпункта "в" пункта 11</w:t>
              </w:r>
            </w:hyperlink>
            <w:r>
              <w:rPr>
                <w:sz w:val="20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отмостки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водоотводящего лотка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окон в местах общего пользования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установка домового знака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установка решеток по периметру стен фасада на продухи чердачного помещения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установка пожарных лестниц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подвальных окон, приямков, спусков в подвал и дверей входа в подвал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системы наружного водостока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покрытий козырьков балконов, лоджий верхних этажей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козырьков над входами в подъезды, подвалы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(включая усиление) наружных стен лифтовых шахт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подвальных помещений, относящихся к общему имуществу в многоквартирном доме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бетонных дорожек в подвальном помещении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или усиление балок и перекрытий пола первого этажа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Утепление перекрытия пола первого этажа со стороны подвальных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усиление и гидроизоляция железобетонных, деревянных конструкций подвала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Антисептирование конструктивных элементов подвала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подвальных окон, приямков, спусков в подвал и дверей входа в подвал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продухов для вентиляции подвального помещения с установкой жалюзийных решеток с утепленными открывающимися створками или вывод выше уровня пола 1 этажа трубами полипропиленовыми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дренажной системы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Утепление стен спуска в подвал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0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крыши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усиление стропильной системы, обрешетки (контробрешетки)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Огне-биозащита деревянных конструкций крыши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по нормализации температурно-влажностного режима (устройство карнизных, вытяжных щелей, коробов и т.д.)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усиление деревянных и железобетонных конструкций чердачного перекрытия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слуховых окон, лестниц подъема (спуска) на чердак и кровлю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элементов безопасности (кровельные лестницы, ходовые мостики, страховочные тросы, крюки)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покрытия кровли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стяжки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Утепление чердачного перекрытия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гидро-пароизоляции чердачного перекрытия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утепление плит покрытия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наружных и внутренних систем водоотведения кровли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помещений выходов на кровлю с заменой окон, дверей, люков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покрытий парапетов, брандмауэров, надстроек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парапетных, карнизных плит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парапетных решеток, ограждений, устройств для молниезащиты и заземления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подшивки карниза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ограждения кровли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утепление, герметизация воздуховодов, вентиляционных шахт систем вентиляции, газоходов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дефлекторов мусоропроводов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защитной сетки на продухи воздуховодов, вентиляционных шахт систем вентиляции, газоходов (от птиц)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Замена, установка зонтов на оголовках воздуховодов, вентиляционных шахт систем вентиляции, газоходов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конструктивных элементов (в том числе гермошвов) лифтовых шахт, расположенных на крыше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покрытий козырьков балконов, лоджий верхних этажей, бетонных покрытий воздуховодов, вентиляционных шахт систем вентиляции, газоходов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фановых труб вытяжной части канализационного стояка с утеплением и выведением за пределы кровельного покрытия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Утепление инженерных коммуникаций неотапливаемого чердака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снегозадержателей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боровов в чердачном помещении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решеток по периметру стен фасада на продухи чердачного помещения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кровельного аэратора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металлических пожарных лестниц и последующая их покраска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поддонов вытяжных коньковых коробов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водоснабжения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разводящих трубопроводов и стояков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Замена, установка запорной арматуры, в том числе на ответвлениях от стояков в квартиру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циркуляционной линии при ее отсутствии (при наличии технической возможности)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Изоляция трубопроводов и арматуры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трубопроводов, водоразборных устройств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гибких подводок к санитарно-техническим приборам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полотенцесушителей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повысительных насосных установок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регуляторов параметров горячей воды,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устройство системы пожарного водопровода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полов с антисептированием при демонтаже, монтаже, восстановлении, замене трубопроводов в техподполье или под полом первого этажа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Герметизация ввода и мест пересечения инженерных коммуникаций с фундаментом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Гидравлические испытания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контура заземления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системы дополнительного уравнивания потенциалов, в том числе заземление ванн в квартирах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водоотведения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канализационных выпусков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сборного отводного (горизонтального) трубопровода и стояков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обратных клапанов на канализационных выпусках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фановых труб с утеплением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трапов и душевых поддонов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гидроизоляции пола и стен в душевых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 и монтаж санитарно-технических приборов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сантехприборов (унитазов, моек, раковин, ванн) -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или ремонт элементов внутреннего водостока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полов с антисептированием при ремонте, замене трубопроводов в техподполье или под полом первого этажа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Герметизация выпусков и мест пересечения инженерных коммуникаций с фундаментами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 системы дополнительного уравнивания потенциалов, в том числе заземление ванн в квартирах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железобетонных колодцев, септиков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Гидравлические испытания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теплоснабжения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разводящих трубопроводов, стояков, и подводок к отопительным приборам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(восстановление) системы панельного отопления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запорной арматуры, в том числе на ответвлениях от стояков в квартиру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Изоляция трубопроводов и арматуры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тепловых завес, расширительных баков, воздухосборников и воздухоотводчиков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полотенцесушителей (в том числе регистров) с подключением к сплошному по вертикали водоразборному стояку с установкой запорной арматуры (в случае отсутствия запорно-регулировочных кранов на отводах внутриквартирной разводки от стояков)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отопительных приборов с установкой отключающей арматуры и байпасной линии (перемычки) (в случае отсутствия запорно-регулировочных кранов на отводах внутриквартирной разводки от стояков)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автоматических балансировочных клапанов на стояках, ветках и кольцах системы отопления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регуляторов параметров теплоносителя, теплообменников, бойлеров, насосных установок и другого оборудования в комплексе для приготовления и подачи горячей воды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гибких подводок к санитарно-техническим приборам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замена, установка повысительных насосных установок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Восстановление или устройство технических помещений для размещения узлов учета и регулирования коммунальных ресурсов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полов с антисептированием при ремонте, замене трубопроводов в техподполье или под полом первого этажа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Герметизация ввода и мест пересечения инженерных коммуникаций с фундаментами здания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Гидравлические (или иные) испытания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газоснабжения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внутридомовых и фасадных разводящих трубопроводов и стояков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Вынос газопроводов из подвалов и подъездов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стояков газопроводов и перенос их из зон, расположенных рядом с мойками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запорной и регулировочной арматуры, в том числе на ответвлении от стояков к бытовым газовым приборам в помещениях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утепление, герметизация воздуховодов, вентиляционных шахт систем вентиляции, газоходов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Ремонт/установка приборов контроля загазованности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Гидравлические испытания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 внутридомовой инженерной системы электроснабжения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главных и вводно-распределительных щитов (ГРЩ, ВРУ), распределительных и групповых щитов (этажных)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внутридомовых разводящих магистралей и вертикальных частей (стояков) питающих линий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кабельных линий питания квартир (при размещении индивидуальных приборов учета электроэнергии в квартире)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устройств защитного отключения для каждой квартиры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электрических сетей для питания электрооборудования лифтов и электрооборудования для обеспечения работы инженерных систем, установка щитов питания автоматического ввода резерва (далее - АВР) для лифтового оборудования и систем противопожарной защиты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Замена, монтаж линий питания домофонного и антенного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осветительных приборов в местах общего пользования, монтаж системы автоматического управления осветительными приборами, аварийного освещения лестничных площадок, входов в подъезды, указателя пожарного гидранта, уличных указателей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Разборка и восстановление конструкций в местах прохода инженерных коммуникаций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дверей в электрощитовую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 или замена систем автоматической противопожарной защиты в местах общего пользования (необходимость определяется при техническом обследовании и проектировании)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замена кабельных линий, выключателей, рубильников, штепселей, патронов, розеток и т.п. в местах общего пользования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контура заземления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 системы дополнительного уравнивания потенциалов, в том числе заземление ванн в квартирах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пусконаладочных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инженерных систем, установленных по строительному проекту многоквартирного дома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модернизация лифтов, ремонт лифтовых шахт, машинных и блочных помещений</w:t>
            </w:r>
          </w:p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замена, модернизация лифта, признанного непригодным для эксплуатации на основании заключения по результатам оценки соответствия лифта, отработавшего назначенный срок службы в соответствии со </w:t>
            </w:r>
            <w:hyperlink w:history="0" r:id="rId15" w:tooltip="Решение Комиссии Таможенного союза от 18.10.2011 N 824 (ред. от 19.12.2019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sz w:val="20"/>
                  <w:color w:val="0000ff"/>
                </w:rPr>
                <w:t xml:space="preserve">статьей 6</w:t>
              </w:r>
            </w:hyperlink>
            <w:r>
              <w:rPr>
                <w:sz w:val="20"/>
              </w:rPr>
              <w:t xml:space="preserve"> Технического регламента Таможенного союза ТР ТС 011/2011 "Безопасность лифтов", утвержденного Решением Комиссии Таможенного союза от 18 октября 2011 г. N 824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лифтовых шахт, замена приставных лифтовых шахт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освещения лифтовых шахт и машинного помещения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машинных помещений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или замена дверей в машинные помещения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Ремонт, замена, установка элементов автоматизации и диспетчеризации лифтового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кабелей питания лифта и установка АВР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Замена оборудования в машинном помещении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Демонтаж, монтаж, восстановление, устройство контура заземления лифтового оборудования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пусконаладочных работ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полного технического освидетельствования смонтированного оборудования и получение Декларации о соответствии лифта требованиям Технического </w:t>
            </w:r>
            <w:hyperlink w:history="0" r:id="rId16" w:tooltip="Решение Комиссии Таможенного союза от 18.10.2011 N 824 (ред. от 19.12.2019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sz w:val="20"/>
                  <w:color w:val="0000ff"/>
                </w:rPr>
                <w:t xml:space="preserve">регламента</w:t>
              </w:r>
            </w:hyperlink>
            <w:r>
              <w:rPr>
                <w:sz w:val="20"/>
              </w:rPr>
              <w:t xml:space="preserve"> Таможенного союза ТР ТС 011/2011 "Безопасность лифтов", утвержденного Решением Комиссии Таможенного союза от 18 октября 2011 г. N 824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00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и (или) восстановление имущества, демонтированного или разрушенного вследствие технологических и конструктивных особенностей ремонтируемых (заменяемых) конструкций и инженерных систем, установленных по строительному проекту многоквартирного дома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29.12.2022 N 1159/пр</w:t>
            <w:br/>
            <w:t>"Об утверждении методических рекомендаций по определению нормативным прав...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D3CD608FC5E6E6481E0125F5AF6E616CADAE81C4BBF11F4D2B1D815FC4E96BC2700BDD83E44989CAA924D763342B1083E7DC0EFE615gDO9C" TargetMode = "External"/>
	<Relationship Id="rId8" Type="http://schemas.openxmlformats.org/officeDocument/2006/relationships/hyperlink" Target="consultantplus://offline/ref=3D3CD608FC5E6E6481E0125F5AF6E616CADAE81C4BBF11F4D2B1D815FC4E96BC2700BDD83E44989CAA924D763342B1083E7DC0EFE615gDO9C" TargetMode = "External"/>
	<Relationship Id="rId9" Type="http://schemas.openxmlformats.org/officeDocument/2006/relationships/hyperlink" Target="consultantplus://offline/ref=3D3CD608FC5E6E6481E0125F5AF6E616CADAE81C4BBF11F4D2B1D815FC4E96BC2700BDD83E4C9996FEC85D727A16BE173C62DEECF815DAB3g1O4C" TargetMode = "External"/>
	<Relationship Id="rId10" Type="http://schemas.openxmlformats.org/officeDocument/2006/relationships/hyperlink" Target="consultantplus://offline/ref=3D3CD608FC5E6E6481E0125F5AF6E616CADAEF1A4AB911F4D2B1D815FC4E96BC2700BDDB374B90C3AF875C2E3F41AD163F62DCEDE4g1O4C" TargetMode = "External"/>
	<Relationship Id="rId11" Type="http://schemas.openxmlformats.org/officeDocument/2006/relationships/hyperlink" Target="consultantplus://offline/ref=3D3CD608FC5E6E6481E0125F5AF6E616CADAE81C4BBF11F4D2B1D815FC4E96BC2700BDDF384590C3AF875C2E3F41AD163F62DCEDE4g1O4C" TargetMode = "External"/>
	<Relationship Id="rId12" Type="http://schemas.openxmlformats.org/officeDocument/2006/relationships/hyperlink" Target="consultantplus://offline/ref=3D3CD608FC5E6E6481E0125F5AF6E616CADAE81C4BBF11F4D2B1D815FC4E96BC2700BDD83E4C9996FEC85D727A16BE173C62DEECF815DAB3g1O4C" TargetMode = "External"/>
	<Relationship Id="rId13" Type="http://schemas.openxmlformats.org/officeDocument/2006/relationships/hyperlink" Target="consultantplus://offline/ref=3D3CD608FC5E6E6481E0125F5AF6E616CADAE81C4BBF11F4D2B1D815FC4E96BC2700BDD83E4C9996FEC85D727A16BE173C62DEECF815DAB3g1O4C" TargetMode = "External"/>
	<Relationship Id="rId14" Type="http://schemas.openxmlformats.org/officeDocument/2006/relationships/hyperlink" Target="consultantplus://offline/ref=3D3CD608FC5E6E6481E0125F5AF6E616CAD8E51E49BE11F4D2B1D815FC4E96BC2700BDDA3E46CFC6BA9604223C5DB317207EDEEFgEO5C" TargetMode = "External"/>
	<Relationship Id="rId15" Type="http://schemas.openxmlformats.org/officeDocument/2006/relationships/hyperlink" Target="consultantplus://offline/ref=3D3CD608FC5E6E6481E0125F5AF6E616CDDCEC1B4DBF11F4D2B1D815FC4E96BC2700BDD83E4D9A95F9C85D727A16BE173C62DEECF815DAB3g1O4C" TargetMode = "External"/>
	<Relationship Id="rId16" Type="http://schemas.openxmlformats.org/officeDocument/2006/relationships/hyperlink" Target="consultantplus://offline/ref=3D3CD608FC5E6E6481E0125F5AF6E616CDDCEC1B4DBF11F4D2B1D815FC4E96BC2700BDD83E4D9B92FEC85D727A16BE173C62DEECF815DAB3g1O4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29.12.2022 N 1159/пр
"Об утверждении методических рекомендаций по определению нормативным правовым актом субъекта Российской Федерации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ст</dc:title>
  <dcterms:created xsi:type="dcterms:W3CDTF">2023-01-12T02:14:32Z</dcterms:created>
</cp:coreProperties>
</file>