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28.01.2019 N 44/пр</w:t>
              <w:br/>
              <w:t xml:space="preserve">(ред. от 16.09.2022)</w:t>
              <w:br/>
              <w:t xml:space="preserve">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        <w:br/>
              <w:t xml:space="preserve">(Зарегистрировано в Минюсте России 21.02.2019 N 53863)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04.04.2024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21 февраля 2019 г. N 53863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28 января 2019 г. N 44/пр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ТРЕБОВАНИЙ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 И ПОРЯДКА НАПРАВЛЕНИЯ</w:t>
      </w:r>
    </w:p>
    <w:p>
      <w:pPr>
        <w:pStyle w:val="2"/>
        <w:jc w:val="center"/>
      </w:pPr>
      <w:r>
        <w:rPr>
          <w:sz w:val="20"/>
        </w:rPr>
        <w:t xml:space="preserve">ПОДЛИННИКОВ РЕШЕНИЙ И ПРОТОКОЛОВ ОБЩИХ СОБРАНИЙ</w:t>
      </w:r>
    </w:p>
    <w:p>
      <w:pPr>
        <w:pStyle w:val="2"/>
        <w:jc w:val="center"/>
      </w:pPr>
      <w:r>
        <w:rPr>
          <w:sz w:val="20"/>
        </w:rPr>
        <w:t xml:space="preserve">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</w:t>
      </w:r>
    </w:p>
    <w:p>
      <w:pPr>
        <w:pStyle w:val="2"/>
        <w:jc w:val="center"/>
      </w:pPr>
      <w:r>
        <w:rPr>
          <w:sz w:val="20"/>
        </w:rPr>
        <w:t xml:space="preserve">СУБЪЕКТОВ РОССИЙСКОЙ ФЕДЕРАЦИИ, ОСУЩЕСТВЛЯЮЩИЕ</w:t>
      </w:r>
    </w:p>
    <w:p>
      <w:pPr>
        <w:pStyle w:val="2"/>
        <w:jc w:val="center"/>
      </w:pPr>
      <w:r>
        <w:rPr>
          <w:sz w:val="20"/>
        </w:rPr>
        <w:t xml:space="preserve">ГОСУДАРСТВЕННЫЙ 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, </w:t>
      </w:r>
      <w:hyperlink w:history="0" r:id="rId9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w:anchor="P41" w:tooltip="ТРЕБОВАНИЯ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</w:t>
      </w:r>
      <w:hyperlink w:history="0" w:anchor="P119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строя России от 25.12.2015 N 937/пр &quot;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&quot; (Зарегистрировано в Минюсте России 14.04.2016 N 41802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строительства и жилищно-коммунального хозяйства Российской Федерации от 25 декабря 2015 г. N 937/пр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В.В.ЯКУШЕВ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ТРЕБОВАНИЯ</w:t>
      </w:r>
    </w:p>
    <w:p>
      <w:pPr>
        <w:pStyle w:val="2"/>
        <w:jc w:val="center"/>
      </w:pPr>
      <w:r>
        <w:rPr>
          <w:sz w:val="20"/>
        </w:rPr>
        <w:t xml:space="preserve">К ОФОРМЛЕНИЮ ПРОТОКОЛОВ ОБЩИХ СОБРАНИЙ СОБСТВЕННИКОВ</w:t>
      </w:r>
    </w:p>
    <w:p>
      <w:pPr>
        <w:pStyle w:val="2"/>
        <w:jc w:val="center"/>
      </w:pPr>
      <w:r>
        <w:rPr>
          <w:sz w:val="20"/>
        </w:rPr>
        <w:t xml:space="preserve">ПОМЕЩЕНИЙ В МНОГОКВАРТИРНЫХ ДОМАХ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Требования устанавливают порядок оформления протоколов общих собраний собственников помещений в многоквартирных домах (далее соответственно - протокол общего собрания, общее собрание).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с даты проведения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Протокол общего собрания оформляется секретарем общего собрания, который избирается решением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Протокол общего собрания должен содержать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дата и номер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дата и место проведения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заголовок к содержательной части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содержательная часть протокола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протокол общего собрания подписывается также инициатором проведенного общего собрания. В случае, предусмотренном </w:t>
      </w:r>
      <w:hyperlink w:history="0" r:id="rId11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0001201901220025), протокол общего собрания должен быть подписан всеми собственниками помещений в многоквартирном доме.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оформлению реквизитов протокола</w:t>
      </w:r>
    </w:p>
    <w:p>
      <w:pPr>
        <w:pStyle w:val="2"/>
        <w:jc w:val="center"/>
      </w:pPr>
      <w:r>
        <w:rPr>
          <w:sz w:val="20"/>
        </w:rPr>
        <w:t xml:space="preserve">общего собрания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Наименование документа должно содержать слова "Протокол общего собрания собственников помещений в многоквартирном доме".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Датой протокола общего собрания является дата подведения итогов общего собрания (окончания подсчета голосов собственников помещений в многоквартирном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Номер протокола общего собрания должен соответствовать порядковому номеру общего собрания в течение календарного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качестве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очно-заочной и заочной форме. В случае использования государственной информационной системы жилищно-коммунального хозяйства, предусмотренной Федеральным </w:t>
      </w:r>
      <w:hyperlink w:history="0" r:id="rId12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качестве даты проведения общего собрания в случае, если оно продолжалось несколько дней, указывается дата начала и дата окончания общего собрания. 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w:history="0" r:id="rId13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4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15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 и соответствующем требованиям </w:t>
      </w:r>
      <w:hyperlink w:history="0" r:id="rId16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части 5 статьи 45</w:t>
        </w:r>
      </w:hyperlink>
      <w:r>
        <w:rPr>
          <w:sz w:val="20"/>
        </w:rPr>
        <w:t xml:space="preserve"> или </w:t>
      </w:r>
      <w:hyperlink w:history="0" r:id="rId17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части 4 статьи 47.1</w:t>
        </w:r>
      </w:hyperlink>
      <w:r>
        <w:rPr>
          <w:sz w:val="20"/>
        </w:rPr>
        <w:t xml:space="preserve"> Жилищного кодекса Российской Федерации (далее - сообщение о проведении общего собрания).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очно-заочное голосование).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Содержательная часть протокола общего собрания должна состоять из двух частей - вводной и основной.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Вводная часть содержательной части протокола общего собрания должна включать данные: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 об избрании указанных лиц включен в повестку дня общего собрания);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предусмотренные </w:t>
      </w:r>
      <w:hyperlink w:history="0" w:anchor="P79" w:tooltip="13. Список присутствующих лиц должен начинаться со слов &quot;Присутствующие лица&quot; и включать следующую информацию:">
        <w:r>
          <w:rPr>
            <w:sz w:val="20"/>
            <w:color w:val="0000ff"/>
          </w:rPr>
          <w:t xml:space="preserve">пунктами 13</w:t>
        </w:r>
      </w:hyperlink>
      <w:r>
        <w:rPr>
          <w:sz w:val="20"/>
        </w:rPr>
        <w:t xml:space="preserve"> - </w:t>
      </w:r>
      <w:hyperlink w:history="0" w:anchor="P85" w:tooltip="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&quot;список прилагается (приложение N ___ к настоящему протоколу)&quot;.">
        <w:r>
          <w:rPr>
            <w:sz w:val="20"/>
            <w:color w:val="0000ff"/>
          </w:rPr>
          <w:t xml:space="preserve">15</w:t>
        </w:r>
      </w:hyperlink>
      <w:r>
        <w:rPr>
          <w:sz w:val="20"/>
        </w:rPr>
        <w:t xml:space="preserve"> настоящих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об общем количестве голосов собственников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 количестве голосов собственников помещений в многоквартирном доме, принявших участие в голосовании на общем собрании;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об общей площади жилых и нежилых помещений в многоквартирном доме;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 повестке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о правомочности (наличии или отсутствии кворума) общего собрания.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Список присутствующих лиц должен начинаться со слов "Присутствующие лица" и включать следующую информацию:</w:t>
      </w:r>
    </w:p>
    <w:bookmarkStart w:id="80" w:name="P80"/>
    <w:bookmarkEnd w:id="8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Список приглашенных лиц должен начинаться со слов "Приглашенные лица" и включать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bookmarkStart w:id="85" w:name="P85"/>
    <w:bookmarkEnd w:id="8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случае,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случае,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Текст каждой структурной единицы основной части содержательной части протокола общего собрания должен состоять из трех частей: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"за", "против"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Обязательными приложениями к протоколу общего собрания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 отношении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копия текста сообщения о проведении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w:history="0" r:id="rId18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4 статьи 45</w:t>
        </w:r>
      </w:hyperlink>
      <w:r>
        <w:rPr>
          <w:sz w:val="20"/>
        </w:rPr>
        <w:t xml:space="preserve">, </w:t>
      </w:r>
      <w:hyperlink w:history="0" r:id="rId19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2</w:t>
        </w:r>
      </w:hyperlink>
      <w:r>
        <w:rPr>
          <w:sz w:val="20"/>
        </w:rPr>
        <w:t xml:space="preserve"> и </w:t>
      </w:r>
      <w:hyperlink w:history="0" r:id="rId20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3 статьи 47.1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списки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(их копии), удостоверяющие полномочия представителей присутствующих и приглашенных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документы, рассмотренные общим собранием в соответствии с повесткой дня общего собрания;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history="0" w:anchor="P80" w:tooltip="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...">
        <w:r>
          <w:rPr>
            <w:sz w:val="20"/>
            <w:color w:val="0000ff"/>
          </w:rPr>
          <w:t xml:space="preserve">подпунктом "а" пункта 13</w:t>
        </w:r>
      </w:hyperlink>
      <w:r>
        <w:rPr>
          <w:sz w:val="20"/>
        </w:rPr>
        <w:t xml:space="preserve"> настоящих Требований, для юридических лиц - сведения, предусмотренные </w:t>
      </w:r>
      <w:hyperlink w:history="0" w:anchor="P81" w:tooltip="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 наименование и реквизиты документа, удостоверяю...">
        <w:r>
          <w:rPr>
            <w:sz w:val="20"/>
            <w:color w:val="0000ff"/>
          </w:rPr>
          <w:t xml:space="preserve">подпунктом "б" пункта 13</w:t>
        </w:r>
      </w:hyperlink>
      <w:r>
        <w:rPr>
          <w:sz w:val="20"/>
        </w:rP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bookmarkStart w:id="105" w:name="P105"/>
    <w:bookmarkEnd w:id="10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bookmarkStart w:id="106" w:name="P106"/>
    <w:bookmarkEnd w:id="10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случае, предусмотренном </w:t>
      </w:r>
      <w:hyperlink w:history="0" r:id="rId21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1.1 статьи 136</w:t>
        </w:r>
      </w:hyperlink>
      <w:r>
        <w:rPr>
          <w:sz w:val="20"/>
        </w:rP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 инициатора проведенного общего собрания в случае, предусмотренном </w:t>
      </w:r>
      <w:hyperlink w:history="0" w:anchor="P106" w:tooltip="23. В случае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">
        <w:r>
          <w:rPr>
            <w:sz w:val="20"/>
            <w:color w:val="0000ff"/>
          </w:rPr>
          <w:t xml:space="preserve">пунктом 23</w:t>
        </w:r>
      </w:hyperlink>
      <w:r>
        <w:rPr>
          <w:sz w:val="20"/>
        </w:rPr>
        <w:t xml:space="preserve"> настоящих Требований, должны включать в себя сведения, предусмотренные </w:t>
      </w:r>
      <w:hyperlink w:history="0" w:anchor="P105" w:tooltip="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">
        <w:r>
          <w:rPr>
            <w:sz w:val="20"/>
            <w:color w:val="0000ff"/>
          </w:rPr>
          <w:t xml:space="preserve">пунктом 22</w:t>
        </w:r>
      </w:hyperlink>
      <w:r>
        <w:rPr>
          <w:sz w:val="20"/>
        </w:rP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многоквартирном доме", "проводил подсчет голосов", "инициатор общего собрания собственников помещений в многоквартирном доме").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2019 г. N 44/пр</w:t>
      </w:r>
    </w:p>
    <w:p>
      <w:pPr>
        <w:pStyle w:val="0"/>
        <w:jc w:val="both"/>
      </w:pPr>
      <w:r>
        <w:rPr>
          <w:sz w:val="20"/>
        </w:rPr>
      </w:r>
    </w:p>
    <w:bookmarkStart w:id="119" w:name="P119"/>
    <w:bookmarkEnd w:id="119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НАПРАВЛЕНИЯ ПОДЛИННИКОВ РЕШЕНИЙ И ПРОТОКОЛОВ ОБЩИХ</w:t>
      </w:r>
    </w:p>
    <w:p>
      <w:pPr>
        <w:pStyle w:val="2"/>
        <w:jc w:val="center"/>
      </w:pPr>
      <w:r>
        <w:rPr>
          <w:sz w:val="20"/>
        </w:rPr>
        <w:t xml:space="preserve">СОБРАНИЙ СОБСТВЕННИКОВ ПОМЕЩЕНИЙ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В УПОЛНОМОЧЕННЫЕ ОРГАНЫ ИСПОЛНИТЕЛЬНОЙ ВЛАСТИ СУБЪЕКТОВ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ОСУЩЕСТВЛЯЮЩИЕ ГОСУДАРСТВЕННЫЙ</w:t>
      </w:r>
    </w:p>
    <w:p>
      <w:pPr>
        <w:pStyle w:val="2"/>
        <w:jc w:val="center"/>
      </w:pPr>
      <w:r>
        <w:rPr>
          <w:sz w:val="20"/>
        </w:rPr>
        <w:t xml:space="preserve">ЖИЛИЩНЫЙ НАДЗОР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2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16.09.2022 N 752/пр)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w:history="0" r:id="rId23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частью 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</w:t>
      </w:r>
      <w:r>
        <w:rPr>
          <w:sz w:val="20"/>
        </w:rPr>
        <w:t xml:space="preserve">http://www.pravo.gov.ru</w:t>
      </w:r>
      <w:r>
        <w:rPr>
          <w:sz w:val="20"/>
        </w:rPr>
        <w:t xml:space="preserve">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bookmarkStart w:id="131" w:name="P131"/>
    <w:bookmarkEnd w:id="13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 чем через десять календарных дней со дня окончания общего собрания.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принятия общим собранием решения по вопросу, указанному в </w:t>
      </w:r>
      <w:hyperlink w:history="0" r:id="rId24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пункте 4.4 части 2 статьи 44</w:t>
        </w:r>
      </w:hyperlink>
      <w:r>
        <w:rPr>
          <w:sz w:val="20"/>
        </w:rP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history="0" w:anchor="P131" w:tooltip="4. 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..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с 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ресурсоснабжающей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w:history="0" r:id="rId25" w:tooltip="Федеральный закон от 21.07.2014 N 209-ФЗ (ред. от 28.12.2022) &quot;О государственной информационной системе жилищно-коммунального хозяйства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2022, N 1, ст. 5) (далее - система), или региональной информационной системе, используемой для проведения общего собрания собственников помещений в многоквартирном доме в форме заочного голосования (далее - региональная информационная система), при условии обеспечения размещения в системе в автоматизированном режиме указанных документов лицом, инициировавшим общее собрание собственников помещений в многоквартирном доме, в сроки, предусмотренные </w:t>
      </w:r>
      <w:hyperlink w:history="0" r:id="rId26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частями 1</w:t>
        </w:r>
      </w:hyperlink>
      <w:r>
        <w:rPr>
          <w:sz w:val="20"/>
        </w:rPr>
        <w:t xml:space="preserve"> и </w:t>
      </w:r>
      <w:hyperlink w:history="0" r:id="rId27" w:tooltip="&quot;Жилищный кодекс Российской Федерации&quot; от 29.12.2004 N 188-ФЗ (ред. от 14.02.2024) (с изм. и доп., вступ. в силу с 25.02.2024) ------------ Недействующая редакция {КонсультантПлюс}">
        <w:r>
          <w:rPr>
            <w:sz w:val="20"/>
            <w:color w:val="0000ff"/>
          </w:rPr>
          <w:t xml:space="preserve">1.1 статьи 46</w:t>
        </w:r>
      </w:hyperlink>
      <w:r>
        <w:rPr>
          <w:sz w:val="20"/>
        </w:rPr>
        <w:t xml:space="preserve"> Жилищного кодекса Российской Федерации (Собрание законодательства Российской Федерации, 2005, N 1, ст. 14; 2015, N 27, ст. 3967; 2018, N 1, ст. 69; 2022, N 27, ст. 4618).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решения и протоколы были размещены в системе или региональной информационной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указанных документов в системе или региональной информационной системе.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8" w:tooltip="Приказ Минстроя России от 16.09.2022 N 752/пр &quot;О внесении изменения в пункт 5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утвержденного приказом Министерства строительства и жилищно-коммунального хозяйства Российской Федерации от 28 января 2019 г. N 44/пр&quot; (Зарегистрировано в Минюсте России 28.10.2022 N 7074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16.09.2022 N 752/пр)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28.01.2019 N 44/пр</w:t>
            <w:br/>
            <w:t>(ред. от 16.09.2022)</w:t>
            <w:br/>
            <w:t>"Об утверждении Требований к оформлению протоколов общ...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30133&amp;dst=100006" TargetMode = "External"/>
	<Relationship Id="rId8" Type="http://schemas.openxmlformats.org/officeDocument/2006/relationships/hyperlink" Target="https://login.consultant.ru/link/?req=doc&amp;base=RZR&amp;n=469908&amp;dst=812" TargetMode = "External"/>
	<Relationship Id="rId9" Type="http://schemas.openxmlformats.org/officeDocument/2006/relationships/hyperlink" Target="https://login.consultant.ru/link/?req=doc&amp;base=RZR&amp;n=469908&amp;dst=698" TargetMode = "External"/>
	<Relationship Id="rId10" Type="http://schemas.openxmlformats.org/officeDocument/2006/relationships/hyperlink" Target="https://login.consultant.ru/link/?req=doc&amp;base=RZR&amp;n=196870" TargetMode = "External"/>
	<Relationship Id="rId11" Type="http://schemas.openxmlformats.org/officeDocument/2006/relationships/hyperlink" Target="https://login.consultant.ru/link/?req=doc&amp;base=RZR&amp;n=469908&amp;dst=101043" TargetMode = "External"/>
	<Relationship Id="rId12" Type="http://schemas.openxmlformats.org/officeDocument/2006/relationships/hyperlink" Target="https://login.consultant.ru/link/?req=doc&amp;base=RZR&amp;n=435884" TargetMode = "External"/>
	<Relationship Id="rId13" Type="http://schemas.openxmlformats.org/officeDocument/2006/relationships/hyperlink" Target="https://login.consultant.ru/link/?req=doc&amp;base=RZR&amp;n=469908&amp;dst=101654" TargetMode = "External"/>
	<Relationship Id="rId14" Type="http://schemas.openxmlformats.org/officeDocument/2006/relationships/hyperlink" Target="https://login.consultant.ru/link/?req=doc&amp;base=RZR&amp;n=469908&amp;dst=101268" TargetMode = "External"/>
	<Relationship Id="rId15" Type="http://schemas.openxmlformats.org/officeDocument/2006/relationships/hyperlink" Target="https://login.consultant.ru/link/?req=doc&amp;base=RZR&amp;n=469908&amp;dst=101269" TargetMode = "External"/>
	<Relationship Id="rId16" Type="http://schemas.openxmlformats.org/officeDocument/2006/relationships/hyperlink" Target="https://login.consultant.ru/link/?req=doc&amp;base=RZR&amp;n=469908&amp;dst=100319" TargetMode = "External"/>
	<Relationship Id="rId17" Type="http://schemas.openxmlformats.org/officeDocument/2006/relationships/hyperlink" Target="https://login.consultant.ru/link/?req=doc&amp;base=RZR&amp;n=469908&amp;dst=101270" TargetMode = "External"/>
	<Relationship Id="rId18" Type="http://schemas.openxmlformats.org/officeDocument/2006/relationships/hyperlink" Target="https://login.consultant.ru/link/?req=doc&amp;base=RZR&amp;n=469908&amp;dst=101654" TargetMode = "External"/>
	<Relationship Id="rId19" Type="http://schemas.openxmlformats.org/officeDocument/2006/relationships/hyperlink" Target="https://login.consultant.ru/link/?req=doc&amp;base=RZR&amp;n=469908&amp;dst=101268" TargetMode = "External"/>
	<Relationship Id="rId20" Type="http://schemas.openxmlformats.org/officeDocument/2006/relationships/hyperlink" Target="https://login.consultant.ru/link/?req=doc&amp;base=RZR&amp;n=469908&amp;dst=101269" TargetMode = "External"/>
	<Relationship Id="rId21" Type="http://schemas.openxmlformats.org/officeDocument/2006/relationships/hyperlink" Target="https://login.consultant.ru/link/?req=doc&amp;base=RZR&amp;n=469908&amp;dst=101043" TargetMode = "External"/>
	<Relationship Id="rId22" Type="http://schemas.openxmlformats.org/officeDocument/2006/relationships/hyperlink" Target="https://login.consultant.ru/link/?req=doc&amp;base=RZR&amp;n=430133&amp;dst=100006" TargetMode = "External"/>
	<Relationship Id="rId23" Type="http://schemas.openxmlformats.org/officeDocument/2006/relationships/hyperlink" Target="https://login.consultant.ru/link/?req=doc&amp;base=RZR&amp;n=469908&amp;dst=812" TargetMode = "External"/>
	<Relationship Id="rId24" Type="http://schemas.openxmlformats.org/officeDocument/2006/relationships/hyperlink" Target="https://login.consultant.ru/link/?req=doc&amp;base=RZR&amp;n=469908&amp;dst=740" TargetMode = "External"/>
	<Relationship Id="rId25" Type="http://schemas.openxmlformats.org/officeDocument/2006/relationships/hyperlink" Target="https://login.consultant.ru/link/?req=doc&amp;base=RZR&amp;n=435884" TargetMode = "External"/>
	<Relationship Id="rId26" Type="http://schemas.openxmlformats.org/officeDocument/2006/relationships/hyperlink" Target="https://login.consultant.ru/link/?req=doc&amp;base=RZR&amp;n=469908&amp;dst=1084" TargetMode = "External"/>
	<Relationship Id="rId27" Type="http://schemas.openxmlformats.org/officeDocument/2006/relationships/hyperlink" Target="https://login.consultant.ru/link/?req=doc&amp;base=RZR&amp;n=469908&amp;dst=698" TargetMode = "External"/>
	<Relationship Id="rId28" Type="http://schemas.openxmlformats.org/officeDocument/2006/relationships/hyperlink" Target="https://login.consultant.ru/link/?req=doc&amp;base=RZR&amp;n=430133&amp;dst=10000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28.01.2019 N 44/пр
(ред. от 16.09.2022)
"Об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
(Зарегистрировано в Минюсте России 21.02.2019 N 53863)</dc:title>
  <dcterms:created xsi:type="dcterms:W3CDTF">2024-04-04T03:08:08Z</dcterms:created>
</cp:coreProperties>
</file>